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DD3" w:rsidRPr="00A04DD3" w:rsidRDefault="00A04DD3" w:rsidP="00A04DD3">
      <w:pPr>
        <w:spacing w:after="0" w:line="600" w:lineRule="atLeast"/>
        <w:textAlignment w:val="baseline"/>
        <w:outlineLvl w:val="0"/>
        <w:rPr>
          <w:rFonts w:ascii="Roboto" w:eastAsia="Times New Roman" w:hAnsi="Roboto" w:cs="Times New Roman"/>
          <w:color w:val="333333"/>
          <w:kern w:val="36"/>
          <w:sz w:val="51"/>
          <w:szCs w:val="51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kern w:val="36"/>
          <w:sz w:val="51"/>
          <w:szCs w:val="51"/>
          <w:lang w:eastAsia="ru-RU"/>
        </w:rPr>
        <w:t>Повертаємо</w:t>
      </w:r>
      <w:proofErr w:type="spellEnd"/>
      <w:r w:rsidRPr="00A04DD3">
        <w:rPr>
          <w:rFonts w:ascii="Roboto" w:eastAsia="Times New Roman" w:hAnsi="Roboto" w:cs="Times New Roman"/>
          <w:color w:val="333333"/>
          <w:kern w:val="36"/>
          <w:sz w:val="51"/>
          <w:szCs w:val="5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kern w:val="36"/>
          <w:sz w:val="51"/>
          <w:szCs w:val="51"/>
          <w:lang w:eastAsia="ru-RU"/>
        </w:rPr>
        <w:t>кошти</w:t>
      </w:r>
      <w:proofErr w:type="spellEnd"/>
      <w:r w:rsidRPr="00A04DD3">
        <w:rPr>
          <w:rFonts w:ascii="Roboto" w:eastAsia="Times New Roman" w:hAnsi="Roboto" w:cs="Times New Roman"/>
          <w:color w:val="333333"/>
          <w:kern w:val="36"/>
          <w:sz w:val="51"/>
          <w:szCs w:val="51"/>
          <w:lang w:eastAsia="ru-RU"/>
        </w:rPr>
        <w:t xml:space="preserve"> за товар через РРО</w:t>
      </w:r>
    </w:p>
    <w:p w:rsidR="00A04DD3" w:rsidRPr="00A04DD3" w:rsidRDefault="00A04DD3" w:rsidP="00A04DD3">
      <w:pPr>
        <w:spacing w:after="0" w:line="405" w:lineRule="atLeast"/>
        <w:textAlignment w:val="baseline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Доволі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часто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суб’єкту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господарювання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доводиться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повертати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кошти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покупцеві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придбаний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товар. Як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такі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операції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регулює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чинне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РРОшно-касове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законодавство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Подамо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відповідь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це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запитання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крізь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призму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найпоширеніших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практичних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ситуацій</w:t>
      </w:r>
      <w:proofErr w:type="spellEnd"/>
      <w:r w:rsidRPr="00A04DD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04DD3" w:rsidRPr="00A04DD3" w:rsidRDefault="00A04DD3" w:rsidP="00A04DD3">
      <w:pPr>
        <w:spacing w:before="600" w:after="465" w:line="42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Коли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можна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повернути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сплачені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кошти</w:t>
      </w:r>
      <w:proofErr w:type="spellEnd"/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Перелічимо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кілька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(1) за товар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повертається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а)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неналежної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якості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виявлено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істотні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недоліки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товару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</w:t>
      </w:r>
      <w:hyperlink r:id="rId5" w:tgtFrame="_blank" w:tooltip="ст. 8 Закону № 1023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ст. 8 Закону № 1023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);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б)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належної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якості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підійшов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тими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параметрами й у продажу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немає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аналогічного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hyperlink r:id="rId6" w:tgtFrame="_blank" w:tooltip="ст. 9 Закону № 1023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ст. 9 Закону № 1023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обох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гроші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сплачені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товар,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повертаються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споживачеві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gram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 день</w:t>
      </w:r>
      <w:proofErr w:type="gram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розірвання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договору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неможливо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— в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строк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домовленістю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але не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пізніше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ніж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семи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днів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(2) 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зменшення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(</w:t>
      </w:r>
      <w:hyperlink r:id="rId7" w:tgtFrame="_blank" w:tooltip="ч. 1 ст. 8 та ч. 3 ст. 10 Закону № 1023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ч. 1 ст. 8 та ч. 3 ст. 10 Закону № 1023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);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(3) 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авансу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за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неотриманий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товар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ч. 2 ст. 693 ЦКУ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);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(4) 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авансу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за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фактично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надані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Найголовніше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слід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пам’ятати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видача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грошових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покупцеві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повернутий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товар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ненадану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послугу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) —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така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сама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розрахункова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операція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, як і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їх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отримання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gram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при продажу</w:t>
      </w:r>
      <w:proofErr w:type="gram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товару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)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говорить </w:t>
      </w:r>
      <w:hyperlink r:id="rId8" w:tgtFrame="_blank" w:tooltip="ст. 2 Закону про РРО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ст. 2 Закону про РРО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Тож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маєте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видати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особі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яка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повертає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товар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відмовляється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розрахунковий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встановленої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форми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на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повну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суму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проведеної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операції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Йдеться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фіскальний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касовий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чек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видатковий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чек)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№ ФКЧ-2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(див. 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fldChar w:fldCharType="begin"/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instrText xml:space="preserve"> HYPERLINK "http://zakon3.rada.gov.ua/laws/show/z0220-16" \o "додаток 2 до Положення № 13" \t "_blank" </w:instrTex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fldChar w:fldCharType="separate"/>
      </w:r>
      <w:r w:rsidRPr="00A04DD3">
        <w:rPr>
          <w:rFonts w:ascii="Roboto" w:eastAsia="Times New Roman" w:hAnsi="Roboto" w:cs="Times New Roman"/>
          <w:color w:val="26539A"/>
          <w:sz w:val="24"/>
          <w:szCs w:val="24"/>
          <w:u w:val="single"/>
          <w:bdr w:val="none" w:sz="0" w:space="0" w:color="auto" w:frame="1"/>
          <w:lang w:eastAsia="ru-RU"/>
        </w:rPr>
        <w:t>додаток</w:t>
      </w:r>
      <w:proofErr w:type="spellEnd"/>
      <w:r w:rsidRPr="00A04DD3">
        <w:rPr>
          <w:rFonts w:ascii="Roboto" w:eastAsia="Times New Roman" w:hAnsi="Roboto" w:cs="Times New Roman"/>
          <w:color w:val="26539A"/>
          <w:sz w:val="24"/>
          <w:szCs w:val="24"/>
          <w:u w:val="single"/>
          <w:bdr w:val="none" w:sz="0" w:space="0" w:color="auto" w:frame="1"/>
          <w:lang w:eastAsia="ru-RU"/>
        </w:rPr>
        <w:t xml:space="preserve"> 2 до </w:t>
      </w:r>
      <w:proofErr w:type="spellStart"/>
      <w:r w:rsidRPr="00A04DD3">
        <w:rPr>
          <w:rFonts w:ascii="Roboto" w:eastAsia="Times New Roman" w:hAnsi="Roboto" w:cs="Times New Roman"/>
          <w:color w:val="26539A"/>
          <w:sz w:val="24"/>
          <w:szCs w:val="24"/>
          <w:u w:val="single"/>
          <w:bdr w:val="none" w:sz="0" w:space="0" w:color="auto" w:frame="1"/>
          <w:lang w:eastAsia="ru-RU"/>
        </w:rPr>
        <w:t>Положення</w:t>
      </w:r>
      <w:proofErr w:type="spellEnd"/>
      <w:r w:rsidRPr="00A04DD3">
        <w:rPr>
          <w:rFonts w:ascii="Roboto" w:eastAsia="Times New Roman" w:hAnsi="Roboto" w:cs="Times New Roman"/>
          <w:color w:val="26539A"/>
          <w:sz w:val="24"/>
          <w:szCs w:val="24"/>
          <w:u w:val="single"/>
          <w:bdr w:val="none" w:sz="0" w:space="0" w:color="auto" w:frame="1"/>
          <w:lang w:eastAsia="ru-RU"/>
        </w:rPr>
        <w:t xml:space="preserve"> № 13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fldChar w:fldCharType="end"/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 А от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видатковий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касовий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ордер при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цьому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оформлюють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лист ДФСУ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02.01.2019 р. № 11/6/99-99-14-05-01-15/ІПК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*).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* На той час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фіскали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обумовлювали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такий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дозвіл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ще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й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відображенням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операції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з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видачі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готівки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у КОРО,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на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сьогодні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взагалі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позбавлено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будь-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якого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сенсу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.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Чому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скажемо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трохи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далі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.</w:t>
      </w:r>
    </w:p>
    <w:p w:rsidR="00A04DD3" w:rsidRPr="00A04DD3" w:rsidRDefault="00A04DD3" w:rsidP="00A04DD3">
      <w:pPr>
        <w:spacing w:before="600" w:after="465" w:line="42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lastRenderedPageBreak/>
        <w:t xml:space="preserve">Як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видати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кошти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при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поверненні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товару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порядок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видачі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товару (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відмови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та в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випадках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)?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товару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 в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видатковому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чеку,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надрукованому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РРО,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шляхом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реєстрації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від’ємної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</w:t>
      </w:r>
      <w:hyperlink r:id="rId9" w:tgtFrame="_blank" w:tooltip="п. 7 розд. III Порядку № 547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п. 7 </w:t>
        </w:r>
        <w:proofErr w:type="spellStart"/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розд</w:t>
        </w:r>
        <w:proofErr w:type="spellEnd"/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. III Порядку № 547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). При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перед сумою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виданих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друкуватися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знак «-»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мінус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алгоритм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РРО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окремого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накопичення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фіскальній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пам’яті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від’ємних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сум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розрахунків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дозволяється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реєструвати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операції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службова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»;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забороняється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реєструвати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через РРО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від’ємні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суми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операції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сторно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сума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виданих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рекомпенсації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раніше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оплаченої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перевищує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100 грн.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слід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скласти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акт про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видачу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обов’язок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покладено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матеріально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відповідальну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особу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особу, яка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безпосередньо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розрахунки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зазвичай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касир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торговельного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залу).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акті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необхідно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зазначити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документа,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встановлює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особу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покупця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повертає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відмовляється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 товар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), суму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виданих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номер, дату і час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розрахункового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документа,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підтверджує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придбання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товару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 (</w:t>
      </w:r>
      <w:hyperlink r:id="rId10" w:tgtFrame="_blank" w:tooltip="п. 8 розд. III Порядку № 547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п. 8 </w:t>
        </w:r>
        <w:proofErr w:type="spellStart"/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розд</w:t>
        </w:r>
        <w:proofErr w:type="spellEnd"/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. III Порядку № 547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). Для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скористатися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документом,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встановлює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особу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покупця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лист ДФСУ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15.05.2019 р. № 2180/6/99-99-14-05-01-15/ІПК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передають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бухгалтерії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зберігають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трьох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років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бухгалтерії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зазначені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підклеюють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останньої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сторінки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КОРО.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Звісно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її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До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речі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навіть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разі</w:t>
      </w:r>
      <w:proofErr w:type="spellEnd"/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жодних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записів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у КОРО,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пов’язаних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видачею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повернутий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товар,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робити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не треба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Адже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наразі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задіяна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коли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відключили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електроенергію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вийшов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 ладу РРО.</w:t>
      </w:r>
    </w:p>
    <w:p w:rsidR="00A04DD3" w:rsidRPr="00A04DD3" w:rsidRDefault="00A04DD3" w:rsidP="00A04DD3">
      <w:pPr>
        <w:spacing w:before="600" w:after="465" w:line="42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lastRenderedPageBreak/>
        <w:t>Якщо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фіскальний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чек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втрачено</w:t>
      </w:r>
      <w:proofErr w:type="spellEnd"/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повернути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сплачені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за товар 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випадку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втрати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оригіналу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фіскального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чека?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 одного боку,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фіскали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наполягають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тому,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товару та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споживач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серед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розрахунковий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документ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із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зазначеними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ньому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номером, датою і часом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підтверджує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придбання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товару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).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чинним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ж боку, вони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погоджуються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базі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ДФС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втрачений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розрахунковий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документ (чек РРО)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їм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повної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покупки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назви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товару,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 часу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придбання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адреси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магазину та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фіскального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номера РРО, через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здійснювалась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розрахункова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операція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). Про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йдеться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 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листі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ДФСУ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30.11.2018 р. № 5041/6/99-99-14-05-01-15/ІПК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(ср. 025334600).</w:t>
      </w:r>
    </w:p>
    <w:p w:rsidR="00A04DD3" w:rsidRPr="00A04DD3" w:rsidRDefault="00A04DD3" w:rsidP="00A04DD3">
      <w:pPr>
        <w:spacing w:before="600" w:after="465" w:line="42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акт про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складено</w:t>
      </w:r>
      <w:proofErr w:type="spellEnd"/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санкції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загрожують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суб’єкт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господарювання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повернув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покупцю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та не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склав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акт про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зазначив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ньому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необхідні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відомості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?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нескладання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акта про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незазначення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ньому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їх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див.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вище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рекомпенсації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раніше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оплаченої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чинним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передбачена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(БЗ 109.20</w:t>
      </w:r>
      <w:proofErr w:type="gram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 .</w:t>
      </w:r>
      <w:proofErr w:type="gramEnd"/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Разом 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тим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 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листі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ДФСУ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14.05.2019 р. № 2141/6/99-99-14-05-01-15/ІПК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податківці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висловилися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розлогіше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нескладання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акта про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порушує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hyperlink r:id="rId11" w:tgtFrame="_blank" w:tooltip="Закону про РРО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Закону про РРО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розрахунків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але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порушує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визначені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hyperlink r:id="rId12" w:tgtFrame="_blank" w:tooltip="п. 8 розд. III Порядку № 547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п. 8 </w:t>
        </w:r>
        <w:proofErr w:type="spellStart"/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розд</w:t>
        </w:r>
        <w:proofErr w:type="spellEnd"/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. III Порядку № 547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РРО,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розроблено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вимогу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hyperlink r:id="rId13" w:tgtFrame="_blank" w:tooltip="ст. 7 Закону про РРО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ст. 7 Закону про РРО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 нашу думку,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вони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натякають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адмінштрафу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передбаченого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hyperlink r:id="rId14" w:tgtFrame="_blank" w:tooltip="ст. 155-1 КУпАП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ст. 155</w:t>
        </w:r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КУпАП</w:t>
        </w:r>
        <w:proofErr w:type="spellEnd"/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винній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особі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яка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склала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акт про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все одно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уникнути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розмір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нагадаємо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становить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34 до 85 грн., а при повторному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року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порушенні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85 до 170 грн.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Щодо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дрібних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недоліків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оформленні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акта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наприклад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відсутні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реквізити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документа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покупця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повернув товар,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), то вони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позбавляють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доказовості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04DD3" w:rsidRPr="00A04DD3" w:rsidRDefault="00A04DD3" w:rsidP="00A04DD3">
      <w:pPr>
        <w:spacing w:before="600" w:after="465" w:line="42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вистачає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готівки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для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коштів</w:t>
      </w:r>
      <w:proofErr w:type="spellEnd"/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Як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оформити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готівки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за товар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покупцеві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скриньці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РРО не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вистачає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готівкових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?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скриньці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недостатньо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готівки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повернути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необхідну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суму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покупцеві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касир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повинен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звернутися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бухгалтерії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підприємства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каси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видали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певну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суму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готівки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готівки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із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каси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підприємства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оформляється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видатковим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касовим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ордером (</w:t>
      </w:r>
      <w:hyperlink r:id="rId15" w:tgtFrame="_blank" w:tooltip="п. 26 Положення № 148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п. 26 </w:t>
        </w:r>
        <w:proofErr w:type="spellStart"/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Положення</w:t>
        </w:r>
        <w:proofErr w:type="spellEnd"/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№ 148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). Оператор РРО,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отримавши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каси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бухгалтерії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вносить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їх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касового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апарату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операції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службового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».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алгоритм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схвалений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податківцями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(БЗ 109.06).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 як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діяти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ФОП,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скриньці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вистачає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готівки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повернути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необхідну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суму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покупцеві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?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Оскільки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ФОП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касової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книги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ведуть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hyperlink r:id="rId16" w:tgtFrame="_blank" w:tooltip="п. 39 Положення № 148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п. 39 </w:t>
        </w:r>
        <w:proofErr w:type="spellStart"/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Положення</w:t>
        </w:r>
        <w:proofErr w:type="spellEnd"/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№ 148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 і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касові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ордери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виписують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наведений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вище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алгоритм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спрощується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ФОП просто уносить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готівку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скриньки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РРО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операції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службове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A04DD3" w:rsidRPr="00A04DD3" w:rsidRDefault="00A04DD3" w:rsidP="00A04DD3">
      <w:pPr>
        <w:spacing w:before="600" w:after="465" w:line="42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товар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придбано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в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іншому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магазині</w:t>
      </w:r>
      <w:proofErr w:type="spellEnd"/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повернути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за товар 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іншому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магазині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аніж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той, де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він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придбавався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обидва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магазини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належать одному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продавцеві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в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якого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було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придбано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товар?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Споживач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розрахункового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документа,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підтверджує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придбання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товару,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право на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свій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вибір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повернути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продавцеві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купівлі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товару;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створеному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власником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продавця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місцезнаходженням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споживача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торговельному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підприємству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філії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продаж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аналогічних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придбаним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ч. 3 ст. 8 Закону № 1023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цьому</w:t>
      </w:r>
      <w:proofErr w:type="spellEnd"/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місце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чинним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законодавством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визначено</w:t>
      </w:r>
      <w:proofErr w:type="spellEnd"/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Отже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придбано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одному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торговельному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об’єкті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іншому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торговельному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об’єкті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ж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 буде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порушенням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чинного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лист ДФСУ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21.06.2019 р. № 2855/6/99-99-14-05-01-15/ІПК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</w:t>
      </w:r>
    </w:p>
    <w:p w:rsidR="00A04DD3" w:rsidRPr="00A04DD3" w:rsidRDefault="00A04DD3" w:rsidP="00A04DD3">
      <w:pPr>
        <w:spacing w:before="600" w:after="465" w:line="42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товар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було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придбано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безготівковим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розрахунком</w:t>
      </w:r>
      <w:proofErr w:type="spellEnd"/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повернути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за товар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готівкою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оплата за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нього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була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здійснена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безготівковій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формі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застосуванням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POS-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термінала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через ПТКС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*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через мережу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Інтернет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)?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*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Програмно-технічний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 xml:space="preserve"> комплекс </w:t>
      </w:r>
      <w:proofErr w:type="spellStart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самообслуговування</w:t>
      </w:r>
      <w:proofErr w:type="spellEnd"/>
      <w:r w:rsidRPr="00A04DD3">
        <w:rPr>
          <w:rFonts w:ascii="Roboto" w:eastAsia="Times New Roman" w:hAnsi="Roboto" w:cs="Times New Roman"/>
          <w:color w:val="333333"/>
          <w:bdr w:val="none" w:sz="0" w:space="0" w:color="auto" w:frame="1"/>
          <w:lang w:eastAsia="ru-RU"/>
        </w:rPr>
        <w:t>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POS-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термінал.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Податківці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традиційно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наполягають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тому,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банківської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платіжної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картки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розрахунку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товар/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через POS-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термінал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 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відмову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відбуватися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їх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перерахування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банк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покупця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платіжну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картку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якою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здійснювався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розрахунок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(див.,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наприклад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 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листи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ДФСУ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12.07.2019 р. № 3236/6/99-99-14-05-01-15/ІПК,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26.03.2019 р. № 1264/6/99-99-14-05-01-15/ІПК, 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БЗ 109. 02).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Наша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позиція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протилежна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чинне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законодавство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обмежує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суб’єкта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господарювання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праві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застосувати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як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безготівкову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так і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готівкову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форму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розрахунку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Адже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hyperlink r:id="rId17" w:tgtFrame="_blank" w:tooltip="Закон про РРО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Закон про РРО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посилаються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фіскали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обґрунтування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свого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підходу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містить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прямо б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запроваджувала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із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приводу. 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нашою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думкою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солідарний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і НБУ (див. 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лист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12.10.2016 р. № 57-0002/84778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</w:t>
      </w:r>
    </w:p>
    <w:p w:rsidR="00A04DD3" w:rsidRPr="00A04DD3" w:rsidRDefault="00A04DD3" w:rsidP="00A04DD3">
      <w:pPr>
        <w:spacing w:before="150"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ж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збираєтесь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сперечатися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 контролерами, то майте на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увазі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: при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банківську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картку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складання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акта про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видачу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теж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обов’язковим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сума,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належна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перевищує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100 грн.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висновок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випливає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 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листа ДФСУ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14.05.2019 р. № 2141/6/99-99-14-05-01-15/ІПК.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ПТКС.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платнику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ненадані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/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частково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надані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оплата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проведена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через ПТКС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податківці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пропонують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здійснювати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 </w:t>
      </w:r>
      <w:hyperlink r:id="rId18" w:tgtFrame="_blank" w:tooltip="Порядком № 547" w:history="1">
        <w:r w:rsidRPr="00A04DD3">
          <w:rPr>
            <w:rFonts w:ascii="Roboto" w:eastAsia="Times New Roman" w:hAnsi="Roboto" w:cs="Times New Roman"/>
            <w:color w:val="26539A"/>
            <w:sz w:val="24"/>
            <w:szCs w:val="24"/>
            <w:u w:val="single"/>
            <w:bdr w:val="none" w:sz="0" w:space="0" w:color="auto" w:frame="1"/>
            <w:lang w:eastAsia="ru-RU"/>
          </w:rPr>
          <w:t>Порядком № 547</w:t>
        </w:r>
      </w:hyperlink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лист ДФСУ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01.04.2019 р. № 1369/6/99-99-14-05-01-15/ІПК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конкретніше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то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скористатися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їхнім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загальним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рецептом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із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БЗ 109.02: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повертати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були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перераховані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суб’єкту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безготівковій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слід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установу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банку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із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застосуванням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РРО 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оформленням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розрахункового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документа, але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обох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випадках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безготівковій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формі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Хоча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згадати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ліберальний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лист ДФСУ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04.11.2016 р. № 23689/6/99-99-14-05-01-15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податківці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заперечували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того,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товар, оплату за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здійснено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ПТКС,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повертати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грошові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готівковій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безготівковій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ним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безпечно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користуватися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краще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отримати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власну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індивідуальну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податкову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консультацію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передбаченому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ст. 52 ПКУ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Розрахунки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через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Інтернет.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жаль,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позиція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податкового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відомства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поверненні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товару,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оплаченого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Інтернет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нам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відома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Та не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думаємо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вона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відрізнятиметься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їхнього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загального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підходу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04DD3" w:rsidRPr="00A04DD3" w:rsidRDefault="00A04DD3" w:rsidP="00A04DD3">
      <w:pPr>
        <w:spacing w:after="0" w:line="390" w:lineRule="atLeas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 от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коли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мережі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Інтернет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лише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замовляли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товар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послугу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), 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оплачували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їх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перерахування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 поточного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рахунку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поточний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внесенням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 банку,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тобто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без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банківських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платіжних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карток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скористатися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рекомендаціями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 </w:t>
      </w:r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листа ДФСУ </w:t>
      </w:r>
      <w:proofErr w:type="spellStart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A04DD3">
        <w:rPr>
          <w:rFonts w:ascii="Roboto" w:eastAsia="Times New Roman" w:hAnsi="Roboto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16.08.2019 р. № 3855/6/99-99-14-05-01-15/ІПК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ньому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зазначається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проводитися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без </w:t>
      </w:r>
      <w:proofErr w:type="spellStart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застосування</w:t>
      </w:r>
      <w:proofErr w:type="spellEnd"/>
      <w:r w:rsidRPr="00A04DD3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РРО</w:t>
      </w:r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однак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все одно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безготівковому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порядку з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рахунку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підприємства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споживача</w:t>
      </w:r>
      <w:proofErr w:type="spellEnd"/>
      <w:r w:rsidRPr="00A04DD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831797" w:rsidRPr="00A04DD3" w:rsidRDefault="00A04DD3" w:rsidP="00A04DD3"/>
    <w:sectPr w:rsidR="00831797" w:rsidRPr="00A0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3B5"/>
    <w:multiLevelType w:val="multilevel"/>
    <w:tmpl w:val="8D3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F4DDC"/>
    <w:multiLevelType w:val="multilevel"/>
    <w:tmpl w:val="7A58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2336F"/>
    <w:multiLevelType w:val="multilevel"/>
    <w:tmpl w:val="D29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34341"/>
    <w:multiLevelType w:val="multilevel"/>
    <w:tmpl w:val="BAE6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A7DF0"/>
    <w:multiLevelType w:val="multilevel"/>
    <w:tmpl w:val="69A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B3"/>
    <w:rsid w:val="00907141"/>
    <w:rsid w:val="00973CED"/>
    <w:rsid w:val="00A04DD3"/>
    <w:rsid w:val="00E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FA95"/>
  <w15:chartTrackingRefBased/>
  <w15:docId w15:val="{83319D80-1A66-433D-B138-46E90798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A04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830B3"/>
    <w:rPr>
      <w:b/>
      <w:bCs/>
    </w:rPr>
  </w:style>
  <w:style w:type="character" w:styleId="Emphasis">
    <w:name w:val="Emphasis"/>
    <w:basedOn w:val="DefaultParagraphFont"/>
    <w:uiPriority w:val="20"/>
    <w:qFormat/>
    <w:rsid w:val="00E830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30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4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04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mainmenu-buttontitle">
    <w:name w:val="b-mainmenu-button__title"/>
    <w:basedOn w:val="DefaultParagraphFont"/>
    <w:rsid w:val="00A04DD3"/>
  </w:style>
  <w:style w:type="character" w:customStyle="1" w:styleId="b-mainmenumiddle-link-text">
    <w:name w:val="b-mainmenu__middle-link-text"/>
    <w:basedOn w:val="DefaultParagraphFont"/>
    <w:rsid w:val="00A04DD3"/>
  </w:style>
  <w:style w:type="character" w:customStyle="1" w:styleId="b-mainmenu-btn-text">
    <w:name w:val="b-mainmenu-btn-text"/>
    <w:basedOn w:val="DefaultParagraphFont"/>
    <w:rsid w:val="00A04DD3"/>
  </w:style>
  <w:style w:type="paragraph" w:customStyle="1" w:styleId="b-menu-listitem">
    <w:name w:val="b-menu-list__item"/>
    <w:basedOn w:val="Normal"/>
    <w:rsid w:val="00A0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nu-listitem-link">
    <w:name w:val="b-menu-list__item-link"/>
    <w:basedOn w:val="DefaultParagraphFont"/>
    <w:rsid w:val="00A04DD3"/>
  </w:style>
  <w:style w:type="character" w:customStyle="1" w:styleId="b-sloganbl-cont-text">
    <w:name w:val="b-slogan__bl-cont-text"/>
    <w:basedOn w:val="DefaultParagraphFont"/>
    <w:rsid w:val="00A04DD3"/>
  </w:style>
  <w:style w:type="paragraph" w:customStyle="1" w:styleId="b-breadcrumbslist-item">
    <w:name w:val="b-breadcrumbs__list-item"/>
    <w:basedOn w:val="Normal"/>
    <w:rsid w:val="00A0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themes-j-articlessubsection-title">
    <w:name w:val="b-themes-j-articles__subsection-title"/>
    <w:basedOn w:val="DefaultParagraphFont"/>
    <w:rsid w:val="00A04DD3"/>
  </w:style>
  <w:style w:type="character" w:customStyle="1" w:styleId="b-artcontrols-item-text">
    <w:name w:val="b-art__controls-item-text"/>
    <w:basedOn w:val="DefaultParagraphFont"/>
    <w:rsid w:val="00A04DD3"/>
  </w:style>
  <w:style w:type="paragraph" w:customStyle="1" w:styleId="indent">
    <w:name w:val="indent"/>
    <w:basedOn w:val="Normal"/>
    <w:rsid w:val="00A0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0">
    <w:name w:val="emphasis"/>
    <w:basedOn w:val="DefaultParagraphFont"/>
    <w:rsid w:val="00A04DD3"/>
  </w:style>
  <w:style w:type="paragraph" w:customStyle="1" w:styleId="footnote">
    <w:name w:val="footnote"/>
    <w:basedOn w:val="Normal"/>
    <w:rsid w:val="00A0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sectin-name">
    <w:name w:val="b-art__sectin-name"/>
    <w:basedOn w:val="DefaultParagraphFont"/>
    <w:rsid w:val="00A04DD3"/>
  </w:style>
  <w:style w:type="character" w:customStyle="1" w:styleId="b-arttag">
    <w:name w:val="b-art__tag"/>
    <w:basedOn w:val="DefaultParagraphFont"/>
    <w:rsid w:val="00A04DD3"/>
  </w:style>
  <w:style w:type="character" w:customStyle="1" w:styleId="b-ad-disabletext">
    <w:name w:val="b-ad-disable__text"/>
    <w:basedOn w:val="DefaultParagraphFont"/>
    <w:rsid w:val="00A04DD3"/>
  </w:style>
  <w:style w:type="paragraph" w:customStyle="1" w:styleId="b-footersinfo-rights-text">
    <w:name w:val="b-footers__info-rights-text"/>
    <w:basedOn w:val="Normal"/>
    <w:rsid w:val="00A0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otersinfo-menu-item">
    <w:name w:val="b-footers__info-menu-item"/>
    <w:basedOn w:val="Normal"/>
    <w:rsid w:val="00A0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107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28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8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0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58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234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0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50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3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10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23651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6626">
          <w:marLeft w:val="0"/>
          <w:marRight w:val="0"/>
          <w:marTop w:val="0"/>
          <w:marBottom w:val="0"/>
          <w:divBdr>
            <w:top w:val="single" w:sz="6" w:space="0" w:color="DDDE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68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0683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2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8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42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214616">
              <w:marLeft w:val="-225"/>
              <w:marRight w:val="-225"/>
              <w:marTop w:val="0"/>
              <w:marBottom w:val="0"/>
              <w:divBdr>
                <w:top w:val="single" w:sz="6" w:space="5" w:color="DDDE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factor.ua/ukr/law-204/section-844/article-22347/" TargetMode="External"/><Relationship Id="rId13" Type="http://schemas.openxmlformats.org/officeDocument/2006/relationships/hyperlink" Target="https://i.factor.ua/ukr/law-204/section-844/article-22348/" TargetMode="External"/><Relationship Id="rId18" Type="http://schemas.openxmlformats.org/officeDocument/2006/relationships/hyperlink" Target="http://zakon5.rada.gov.ua/laws/show/z0918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023-12/page" TargetMode="External"/><Relationship Id="rId12" Type="http://schemas.openxmlformats.org/officeDocument/2006/relationships/hyperlink" Target="http://zakon5.rada.gov.ua/laws/show/z0918-16" TargetMode="External"/><Relationship Id="rId17" Type="http://schemas.openxmlformats.org/officeDocument/2006/relationships/hyperlink" Target="https://i.factor.ua/ukr/law-2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k.gov.ua/document/download?docId=617011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023-12/page" TargetMode="External"/><Relationship Id="rId11" Type="http://schemas.openxmlformats.org/officeDocument/2006/relationships/hyperlink" Target="https://i.factor.ua/ukr/law-204/" TargetMode="External"/><Relationship Id="rId5" Type="http://schemas.openxmlformats.org/officeDocument/2006/relationships/hyperlink" Target="http://zakon2.rada.gov.ua/laws/show/1023-12/page" TargetMode="External"/><Relationship Id="rId15" Type="http://schemas.openxmlformats.org/officeDocument/2006/relationships/hyperlink" Target="https://bank.gov.ua/document/download?docId=61701178" TargetMode="External"/><Relationship Id="rId10" Type="http://schemas.openxmlformats.org/officeDocument/2006/relationships/hyperlink" Target="http://zakon5.rada.gov.ua/laws/show/z0918-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z0918-16" TargetMode="External"/><Relationship Id="rId14" Type="http://schemas.openxmlformats.org/officeDocument/2006/relationships/hyperlink" Target="https://i.factor.ua/ukr/law-42/section-228/article-24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2022-09-01T08:41:00Z</dcterms:created>
  <dcterms:modified xsi:type="dcterms:W3CDTF">2022-09-01T08:41:00Z</dcterms:modified>
</cp:coreProperties>
</file>